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6" w:rsidRDefault="001646F6" w:rsidP="001646F6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1646F6" w:rsidTr="00A65DE4">
        <w:tc>
          <w:tcPr>
            <w:tcW w:w="748" w:type="dxa"/>
            <w:vAlign w:val="center"/>
          </w:tcPr>
          <w:p w:rsidR="001646F6" w:rsidRDefault="001646F6" w:rsidP="00A65DE4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646F6" w:rsidRPr="008A1890" w:rsidRDefault="001646F6" w:rsidP="00A65DE4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1646F6" w:rsidRDefault="001646F6" w:rsidP="00A65DE4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01/</w:t>
      </w:r>
      <w:r w:rsidR="00AA59F3">
        <w:rPr>
          <w:rFonts w:asciiTheme="majorHAnsi" w:hAnsiTheme="majorHAnsi"/>
          <w:sz w:val="21"/>
          <w:szCs w:val="21"/>
        </w:rPr>
        <w:t>20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AA59F3">
        <w:rPr>
          <w:rFonts w:asciiTheme="majorHAnsi" w:hAnsiTheme="majorHAnsi"/>
          <w:sz w:val="21"/>
          <w:szCs w:val="21"/>
        </w:rPr>
        <w:t>15</w:t>
      </w:r>
      <w:r w:rsidR="001676DA">
        <w:rPr>
          <w:rFonts w:asciiTheme="majorHAnsi" w:hAnsiTheme="majorHAnsi"/>
          <w:sz w:val="21"/>
          <w:szCs w:val="21"/>
        </w:rPr>
        <w:t>.</w:t>
      </w:r>
      <w:r w:rsidR="00C1038A">
        <w:rPr>
          <w:rFonts w:asciiTheme="majorHAnsi" w:hAnsiTheme="majorHAnsi"/>
          <w:sz w:val="21"/>
          <w:szCs w:val="21"/>
        </w:rPr>
        <w:t xml:space="preserve"> </w:t>
      </w:r>
      <w:r w:rsidR="002A4006">
        <w:rPr>
          <w:rFonts w:asciiTheme="majorHAnsi" w:hAnsiTheme="majorHAnsi"/>
          <w:sz w:val="21"/>
          <w:szCs w:val="21"/>
        </w:rPr>
        <w:t>lipnja</w:t>
      </w:r>
      <w:r>
        <w:rPr>
          <w:rFonts w:asciiTheme="majorHAnsi" w:hAnsiTheme="majorHAnsi"/>
          <w:sz w:val="21"/>
          <w:szCs w:val="21"/>
        </w:rPr>
        <w:t xml:space="preserve"> 20</w:t>
      </w:r>
      <w:r w:rsidR="00C1038A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054D87" w:rsidRDefault="001D5110" w:rsidP="00054D87">
      <w:pPr>
        <w:spacing w:after="0" w:line="28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054D87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14/13, 2/18, 10/20 i 11/20 – pročišćeni tekst),</w:t>
      </w:r>
      <w:r w:rsidR="00054D87">
        <w:rPr>
          <w:rFonts w:asciiTheme="majorHAnsi" w:hAnsiTheme="majorHAnsi" w:cs="Cambria"/>
          <w:sz w:val="23"/>
          <w:szCs w:val="23"/>
        </w:rPr>
        <w:t xml:space="preserve"> a u skladu s uputom Ministarstva uprave (KLASA: 023-01/20-01/14, URBROJ: 515-05-02-01/1-20-1 od 13. ožujke 2020.g.), </w:t>
      </w:r>
      <w:r w:rsidR="00054D87">
        <w:rPr>
          <w:rFonts w:asciiTheme="majorHAnsi" w:hAnsiTheme="majorHAnsi"/>
          <w:sz w:val="23"/>
          <w:szCs w:val="23"/>
        </w:rPr>
        <w:t xml:space="preserve">sazivam </w:t>
      </w:r>
      <w:r w:rsidR="00054D87">
        <w:rPr>
          <w:rFonts w:asciiTheme="majorHAnsi" w:hAnsiTheme="majorHAnsi"/>
          <w:b/>
          <w:sz w:val="23"/>
          <w:szCs w:val="23"/>
        </w:rPr>
        <w:t xml:space="preserve">11. sjednicu Odbora za </w:t>
      </w:r>
      <w:r w:rsidR="00054D87">
        <w:rPr>
          <w:rFonts w:asciiTheme="majorHAnsi" w:hAnsiTheme="majorHAnsi"/>
          <w:b/>
        </w:rPr>
        <w:t>Proračun i financije</w:t>
      </w:r>
      <w:r w:rsidR="00054D87">
        <w:rPr>
          <w:rFonts w:asciiTheme="majorHAnsi" w:hAnsiTheme="majorHAnsi"/>
          <w:b/>
          <w:sz w:val="23"/>
          <w:szCs w:val="23"/>
        </w:rPr>
        <w:t xml:space="preserve">, </w:t>
      </w:r>
      <w:r w:rsidR="00054D87">
        <w:rPr>
          <w:rFonts w:asciiTheme="majorHAnsi" w:hAnsiTheme="majorHAnsi"/>
          <w:sz w:val="23"/>
          <w:szCs w:val="23"/>
        </w:rPr>
        <w:t xml:space="preserve">koja će se održati </w:t>
      </w:r>
      <w:r w:rsidR="00054D87" w:rsidRPr="00720026">
        <w:rPr>
          <w:rFonts w:asciiTheme="majorHAnsi" w:hAnsiTheme="majorHAnsi"/>
          <w:b/>
          <w:sz w:val="23"/>
          <w:szCs w:val="23"/>
        </w:rPr>
        <w:t>elektroničkim putem</w:t>
      </w:r>
      <w:r w:rsidR="00054D87">
        <w:rPr>
          <w:rFonts w:asciiTheme="majorHAnsi" w:hAnsiTheme="majorHAnsi"/>
          <w:sz w:val="23"/>
          <w:szCs w:val="23"/>
        </w:rPr>
        <w:t xml:space="preserve"> </w:t>
      </w:r>
      <w:r w:rsidR="00AA59F3" w:rsidRPr="00AA59F3">
        <w:rPr>
          <w:rFonts w:asciiTheme="majorHAnsi" w:hAnsiTheme="majorHAnsi"/>
          <w:b/>
          <w:sz w:val="23"/>
          <w:szCs w:val="23"/>
        </w:rPr>
        <w:t>1</w:t>
      </w:r>
      <w:r w:rsidR="00720026">
        <w:rPr>
          <w:rFonts w:asciiTheme="majorHAnsi" w:hAnsiTheme="majorHAnsi"/>
          <w:b/>
          <w:sz w:val="23"/>
          <w:szCs w:val="23"/>
        </w:rPr>
        <w:t>7</w:t>
      </w:r>
      <w:r w:rsidR="00AA59F3" w:rsidRPr="00AA59F3">
        <w:rPr>
          <w:rFonts w:asciiTheme="majorHAnsi" w:hAnsiTheme="majorHAnsi"/>
          <w:b/>
          <w:sz w:val="23"/>
          <w:szCs w:val="23"/>
        </w:rPr>
        <w:t>.</w:t>
      </w:r>
      <w:r w:rsidR="00054D87" w:rsidRPr="00054D87">
        <w:rPr>
          <w:rFonts w:asciiTheme="majorHAnsi" w:hAnsiTheme="majorHAnsi"/>
          <w:b/>
          <w:sz w:val="23"/>
          <w:szCs w:val="23"/>
        </w:rPr>
        <w:t xml:space="preserve"> lipnja</w:t>
      </w:r>
      <w:r w:rsidR="00054D87">
        <w:rPr>
          <w:rFonts w:asciiTheme="majorHAnsi" w:hAnsiTheme="majorHAnsi"/>
          <w:sz w:val="23"/>
          <w:szCs w:val="23"/>
        </w:rPr>
        <w:t xml:space="preserve"> </w:t>
      </w:r>
      <w:r w:rsidR="00054D87">
        <w:rPr>
          <w:rFonts w:asciiTheme="majorHAnsi" w:hAnsiTheme="majorHAnsi"/>
          <w:b/>
          <w:sz w:val="23"/>
          <w:szCs w:val="23"/>
        </w:rPr>
        <w:t>2020. godine (</w:t>
      </w:r>
      <w:r w:rsidR="00720026">
        <w:rPr>
          <w:rFonts w:asciiTheme="majorHAnsi" w:hAnsiTheme="majorHAnsi"/>
          <w:b/>
          <w:sz w:val="23"/>
          <w:szCs w:val="23"/>
        </w:rPr>
        <w:t>SRIJEDA</w:t>
      </w:r>
      <w:r w:rsidR="00054D87">
        <w:rPr>
          <w:rFonts w:asciiTheme="majorHAnsi" w:hAnsiTheme="majorHAnsi"/>
          <w:b/>
          <w:sz w:val="23"/>
          <w:szCs w:val="23"/>
        </w:rPr>
        <w:t xml:space="preserve">), </w:t>
      </w:r>
      <w:r w:rsidR="00720026">
        <w:rPr>
          <w:rFonts w:asciiTheme="majorHAnsi" w:hAnsiTheme="majorHAnsi"/>
          <w:b/>
          <w:sz w:val="23"/>
          <w:szCs w:val="23"/>
        </w:rPr>
        <w:t>s početkom u 10.00 sati</w:t>
      </w:r>
      <w:r w:rsidR="00054D87">
        <w:rPr>
          <w:rFonts w:asciiTheme="majorHAnsi" w:hAnsiTheme="majorHAnsi"/>
          <w:sz w:val="23"/>
          <w:szCs w:val="23"/>
        </w:rPr>
        <w:t>.</w:t>
      </w:r>
    </w:p>
    <w:p w:rsidR="00054D87" w:rsidRDefault="00054D87" w:rsidP="00054D87">
      <w:pPr>
        <w:spacing w:after="0" w:line="120" w:lineRule="auto"/>
        <w:jc w:val="both"/>
        <w:rPr>
          <w:rFonts w:asciiTheme="majorHAnsi" w:hAnsiTheme="majorHAnsi"/>
        </w:rPr>
      </w:pPr>
    </w:p>
    <w:p w:rsidR="001D5110" w:rsidRDefault="00054D87" w:rsidP="001D5110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D5110">
        <w:rPr>
          <w:rFonts w:asciiTheme="majorHAnsi" w:hAnsiTheme="majorHAnsi"/>
        </w:rPr>
        <w:t xml:space="preserve">Za sjednicu predlažem sljedeći </w:t>
      </w:r>
    </w:p>
    <w:p w:rsidR="001D5110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370D5A" w:rsidRPr="00416465" w:rsidRDefault="00370D5A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16465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8B5979">
        <w:rPr>
          <w:rFonts w:asciiTheme="majorHAnsi" w:hAnsiTheme="majorHAnsi" w:cs="Cambria"/>
          <w:sz w:val="23"/>
          <w:szCs w:val="23"/>
          <w:lang w:val="hr-HR"/>
        </w:rPr>
        <w:t>10.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 xml:space="preserve"> sjednice Odbora za Proračun i financije</w:t>
      </w:r>
    </w:p>
    <w:p w:rsidR="008B2385" w:rsidRPr="002E1DFD" w:rsidRDefault="003C3A87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E1DFD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2E1DFD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Godišnjeg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izvještaja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o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izvršenju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Proračuna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Ličko-senjske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županije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razdoblje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proofErr w:type="gram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od</w:t>
      </w:r>
      <w:proofErr w:type="spellEnd"/>
      <w:proofErr w:type="gram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01.01. - 31.12. 2019. </w:t>
      </w:r>
      <w:proofErr w:type="spellStart"/>
      <w:proofErr w:type="gram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godine</w:t>
      </w:r>
      <w:proofErr w:type="spellEnd"/>
      <w:proofErr w:type="gram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i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Zaključka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o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davanju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suglasnosti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na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Godišnji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izvještaj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o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izvršenju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financijskog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plana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Županijske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uprave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ceste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Ličko-senjske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županije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razdoblje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od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01.01. - 31.12. 2019. </w:t>
      </w:r>
      <w:proofErr w:type="spellStart"/>
      <w:r w:rsidR="008B2385" w:rsidRPr="002E1DFD">
        <w:rPr>
          <w:rFonts w:asciiTheme="majorHAnsi" w:eastAsia="Calibri" w:hAnsiTheme="majorHAnsi" w:cs="Book Antiqua"/>
          <w:sz w:val="23"/>
          <w:szCs w:val="23"/>
        </w:rPr>
        <w:t>godine</w:t>
      </w:r>
      <w:proofErr w:type="spellEnd"/>
      <w:r w:rsidR="008B2385" w:rsidRPr="002E1DFD">
        <w:rPr>
          <w:rFonts w:asciiTheme="majorHAnsi" w:eastAsia="Calibri" w:hAnsiTheme="majorHAnsi" w:cs="Book Antiqua"/>
          <w:sz w:val="23"/>
          <w:szCs w:val="23"/>
        </w:rPr>
        <w:t xml:space="preserve"> </w:t>
      </w:r>
    </w:p>
    <w:p w:rsidR="008B2385" w:rsidRPr="002E1DFD" w:rsidRDefault="008B2385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E1DFD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2E1DFD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Zaključka o davanju suglasnosti </w:t>
      </w:r>
      <w:proofErr w:type="gramStart"/>
      <w:r w:rsidRPr="002E1DFD">
        <w:rPr>
          <w:rFonts w:asciiTheme="majorHAnsi" w:hAnsiTheme="majorHAnsi" w:cs="Cambria"/>
          <w:sz w:val="23"/>
          <w:szCs w:val="23"/>
          <w:lang w:val="hr-HR"/>
        </w:rPr>
        <w:t>na</w:t>
      </w:r>
      <w:proofErr w:type="gramEnd"/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 I. Izmjene i dopune Financijskog plana Županijske uprave za ceste Ličko-senjske županije za 2020. godinu s projekcijama za 2021. i 2022. godinu </w:t>
      </w:r>
    </w:p>
    <w:p w:rsidR="008B5979" w:rsidRPr="002E1DFD" w:rsidRDefault="008B5979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E1DFD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2E1DFD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2E1DFD">
        <w:rPr>
          <w:rFonts w:asciiTheme="majorHAnsi" w:hAnsiTheme="majorHAnsi" w:cs="Book Antiqua"/>
          <w:sz w:val="23"/>
          <w:szCs w:val="23"/>
        </w:rPr>
        <w:t xml:space="preserve"> </w:t>
      </w:r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Zaključka o davanju suglasnosti </w:t>
      </w:r>
      <w:proofErr w:type="gramStart"/>
      <w:r w:rsidRPr="002E1DFD">
        <w:rPr>
          <w:rFonts w:asciiTheme="majorHAnsi" w:hAnsiTheme="majorHAnsi" w:cs="Cambria"/>
          <w:sz w:val="23"/>
          <w:szCs w:val="23"/>
          <w:lang w:val="hr-HR"/>
        </w:rPr>
        <w:t>na</w:t>
      </w:r>
      <w:proofErr w:type="gramEnd"/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 I</w:t>
      </w:r>
      <w:r w:rsidR="002E1DFD" w:rsidRPr="002E1DFD">
        <w:rPr>
          <w:rFonts w:asciiTheme="majorHAnsi" w:hAnsiTheme="majorHAnsi" w:cs="Cambria"/>
          <w:sz w:val="23"/>
          <w:szCs w:val="23"/>
          <w:lang w:val="hr-HR"/>
        </w:rPr>
        <w:t>I</w:t>
      </w:r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. Izmjene i dopune Financijskog plana Županijske uprave za ceste Ličko-senjske županije za 2020. godinu s projekcijama za 2021. i 2022. godinu </w:t>
      </w:r>
    </w:p>
    <w:p w:rsidR="002D7FA6" w:rsidRPr="002E1DFD" w:rsidRDefault="008B2385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E1DFD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 w:rsidRPr="002E1DFD">
        <w:rPr>
          <w:rFonts w:asciiTheme="majorHAnsi" w:hAnsiTheme="majorHAnsi"/>
          <w:sz w:val="23"/>
          <w:szCs w:val="23"/>
          <w:lang w:val="hr-HR"/>
        </w:rPr>
        <w:t>Izvješća o radu Županijske uprave za ceste Ličko-senjske županije za 2019. godinu</w:t>
      </w:r>
      <w:r w:rsidRPr="002E1DFD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proofErr w:type="spellStart"/>
      <w:r w:rsidR="002C320C" w:rsidRPr="002E1DFD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 w:rsidRPr="002E1DFD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 w:rsidRPr="002E1DFD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 w:rsidRPr="002E1DFD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1D5110" w:rsidRPr="007620C4" w:rsidRDefault="001D5110" w:rsidP="0092140B">
      <w:pPr>
        <w:numPr>
          <w:ilvl w:val="0"/>
          <w:numId w:val="2"/>
        </w:numPr>
        <w:tabs>
          <w:tab w:val="left" w:pos="-142"/>
          <w:tab w:val="left" w:pos="0"/>
        </w:tabs>
        <w:spacing w:after="0" w:line="28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7620C4">
        <w:rPr>
          <w:rFonts w:asciiTheme="majorHAnsi" w:hAnsiTheme="majorHAnsi"/>
          <w:iCs/>
          <w:sz w:val="23"/>
          <w:szCs w:val="23"/>
        </w:rPr>
        <w:t>Razno</w:t>
      </w:r>
    </w:p>
    <w:p w:rsidR="001D5110" w:rsidRDefault="001D5110" w:rsidP="0092140B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054D87" w:rsidRDefault="00054D87" w:rsidP="00054D87">
      <w:pPr>
        <w:tabs>
          <w:tab w:val="left" w:pos="284"/>
        </w:tabs>
        <w:spacing w:after="0" w:line="28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 xml:space="preserve">   Napomena: </w:t>
      </w:r>
    </w:p>
    <w:p w:rsidR="00054D87" w:rsidRPr="00D94453" w:rsidRDefault="00054D87" w:rsidP="00054D87">
      <w:pPr>
        <w:pStyle w:val="Uvuenotijeloteksta"/>
        <w:tabs>
          <w:tab w:val="left" w:pos="360"/>
        </w:tabs>
        <w:spacing w:after="0" w:line="28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D94453">
        <w:rPr>
          <w:rFonts w:asciiTheme="majorHAnsi" w:hAnsiTheme="majorHAnsi" w:cs="Book Antiqua"/>
          <w:sz w:val="23"/>
          <w:szCs w:val="23"/>
          <w:lang w:val="hr-HR"/>
        </w:rPr>
        <w:t xml:space="preserve">Dnevni red je dostavljen uz poziv s materijalima za </w:t>
      </w:r>
      <w:r w:rsidRPr="00D8322C">
        <w:rPr>
          <w:rFonts w:asciiTheme="majorHAnsi" w:hAnsiTheme="majorHAnsi" w:cs="Book Antiqua"/>
          <w:sz w:val="23"/>
          <w:szCs w:val="23"/>
          <w:lang w:val="hr-HR"/>
        </w:rPr>
        <w:t>X</w:t>
      </w:r>
      <w:r w:rsidR="00D8322C" w:rsidRPr="00D8322C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D8322C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D94453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7" w:history="1">
        <w:r w:rsidRPr="00D94453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Pr="00D94453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D94453" w:rsidRPr="00D94453" w:rsidRDefault="00D94453" w:rsidP="00D94453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D94453" w:rsidRPr="00D94453" w:rsidRDefault="00D94453" w:rsidP="00054D87">
      <w:pPr>
        <w:spacing w:after="0" w:line="280" w:lineRule="exact"/>
        <w:ind w:firstLine="426"/>
        <w:jc w:val="both"/>
        <w:rPr>
          <w:rFonts w:asciiTheme="majorHAnsi" w:hAnsiTheme="majorHAnsi" w:cs="Cambria"/>
          <w:sz w:val="23"/>
          <w:szCs w:val="23"/>
        </w:rPr>
      </w:pPr>
      <w:r w:rsidRPr="00D94453">
        <w:rPr>
          <w:rFonts w:asciiTheme="majorHAnsi" w:hAnsiTheme="majorHAnsi" w:cs="Cambria"/>
          <w:b/>
          <w:bCs/>
          <w:sz w:val="23"/>
          <w:szCs w:val="23"/>
        </w:rPr>
        <w:t>Vrijeme predviđeno za konzultaciju članova o materijalima putem telefona završno će biti do 11,00 sati.</w:t>
      </w:r>
    </w:p>
    <w:p w:rsidR="00D94453" w:rsidRPr="00D94453" w:rsidRDefault="00D94453" w:rsidP="00D94453">
      <w:pPr>
        <w:spacing w:after="0" w:line="120" w:lineRule="auto"/>
        <w:ind w:firstLine="425"/>
        <w:jc w:val="both"/>
        <w:rPr>
          <w:rFonts w:asciiTheme="majorHAnsi" w:hAnsiTheme="majorHAnsi" w:cs="Cambria"/>
          <w:sz w:val="23"/>
          <w:szCs w:val="23"/>
        </w:rPr>
      </w:pPr>
    </w:p>
    <w:p w:rsidR="00054D87" w:rsidRPr="00D94453" w:rsidRDefault="00054D87" w:rsidP="00054D87">
      <w:pPr>
        <w:spacing w:after="0" w:line="280" w:lineRule="exact"/>
        <w:ind w:firstLine="426"/>
        <w:jc w:val="both"/>
        <w:rPr>
          <w:rFonts w:asciiTheme="majorHAnsi" w:hAnsiTheme="majorHAnsi" w:cs="Cambria"/>
          <w:sz w:val="23"/>
          <w:szCs w:val="23"/>
        </w:rPr>
      </w:pPr>
      <w:r w:rsidRPr="00D94453">
        <w:rPr>
          <w:rFonts w:asciiTheme="majorHAnsi" w:hAnsiTheme="majorHAnsi" w:cs="Cambria"/>
          <w:sz w:val="23"/>
          <w:szCs w:val="23"/>
        </w:rPr>
        <w:t>Molimo da se o predmetnim točkama dnevnog reda izjasnite</w:t>
      </w:r>
      <w:r w:rsidR="00D94453" w:rsidRPr="00D94453">
        <w:rPr>
          <w:rFonts w:asciiTheme="majorHAnsi" w:hAnsiTheme="majorHAnsi" w:cs="Cambria"/>
          <w:sz w:val="23"/>
          <w:szCs w:val="23"/>
        </w:rPr>
        <w:t xml:space="preserve">, odnosno </w:t>
      </w:r>
      <w:r w:rsidR="00D94453" w:rsidRPr="00D94453">
        <w:rPr>
          <w:rFonts w:asciiTheme="majorHAnsi" w:hAnsiTheme="majorHAnsi" w:cs="Cambria"/>
          <w:b/>
          <w:sz w:val="23"/>
          <w:szCs w:val="23"/>
        </w:rPr>
        <w:t>glasujete</w:t>
      </w:r>
      <w:r w:rsidR="00D94453" w:rsidRPr="00D94453">
        <w:rPr>
          <w:rFonts w:asciiTheme="majorHAnsi" w:hAnsiTheme="majorHAnsi" w:cs="Cambria"/>
          <w:sz w:val="23"/>
          <w:szCs w:val="23"/>
        </w:rPr>
        <w:t xml:space="preserve"> </w:t>
      </w:r>
      <w:r w:rsidRPr="00D94453">
        <w:rPr>
          <w:rFonts w:asciiTheme="majorHAnsi" w:hAnsiTheme="majorHAnsi" w:cs="Cambria"/>
          <w:sz w:val="23"/>
          <w:szCs w:val="23"/>
        </w:rPr>
        <w:t xml:space="preserve"> </w:t>
      </w:r>
      <w:r w:rsidR="00D94453" w:rsidRPr="00D94453">
        <w:rPr>
          <w:rFonts w:asciiTheme="majorHAnsi" w:hAnsiTheme="majorHAnsi" w:cs="Cambria"/>
          <w:b/>
          <w:sz w:val="23"/>
          <w:szCs w:val="23"/>
        </w:rPr>
        <w:t>vremenu od 11.00 do 12.00 sati, elektroničkim putem</w:t>
      </w:r>
      <w:r w:rsidR="00D94453" w:rsidRPr="00D94453">
        <w:rPr>
          <w:rFonts w:asciiTheme="majorHAnsi" w:hAnsiTheme="majorHAnsi" w:cs="Cambria"/>
          <w:sz w:val="23"/>
          <w:szCs w:val="23"/>
        </w:rPr>
        <w:t xml:space="preserve"> </w:t>
      </w:r>
      <w:r w:rsidR="00D94453" w:rsidRPr="00D94453">
        <w:rPr>
          <w:rFonts w:asciiTheme="majorHAnsi" w:hAnsiTheme="majorHAnsi" w:cs="Cambria"/>
          <w:b/>
          <w:sz w:val="23"/>
          <w:szCs w:val="23"/>
        </w:rPr>
        <w:t>na</w:t>
      </w:r>
      <w:r w:rsidR="00D94453" w:rsidRPr="00D94453">
        <w:rPr>
          <w:rFonts w:asciiTheme="majorHAnsi" w:hAnsiTheme="majorHAnsi" w:cs="Cambria"/>
          <w:sz w:val="23"/>
          <w:szCs w:val="23"/>
        </w:rPr>
        <w:t xml:space="preserve"> (e-mail: </w:t>
      </w:r>
      <w:hyperlink r:id="rId8" w:history="1">
        <w:r w:rsidR="00D94453" w:rsidRPr="00D94453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D94453" w:rsidRPr="00D94453">
        <w:rPr>
          <w:rFonts w:asciiTheme="majorHAnsi" w:hAnsiTheme="majorHAnsi" w:cs="Cambria"/>
          <w:sz w:val="23"/>
          <w:szCs w:val="23"/>
        </w:rPr>
        <w:t xml:space="preserve"> ili </w:t>
      </w:r>
      <w:hyperlink r:id="rId9" w:history="1">
        <w:r w:rsidR="00D94453" w:rsidRPr="00D94453">
          <w:rPr>
            <w:rStyle w:val="Hiperveza"/>
            <w:rFonts w:asciiTheme="majorHAnsi" w:hAnsiTheme="majorHAnsi" w:cs="Cambria"/>
            <w:sz w:val="23"/>
            <w:szCs w:val="23"/>
          </w:rPr>
          <w:t>tajnistvo@licko-senjska.hr</w:t>
        </w:r>
      </w:hyperlink>
      <w:r w:rsidR="00D94453" w:rsidRPr="00D94453">
        <w:rPr>
          <w:rFonts w:asciiTheme="majorHAnsi" w:hAnsiTheme="majorHAnsi" w:cs="Cambria"/>
          <w:sz w:val="23"/>
          <w:szCs w:val="23"/>
        </w:rPr>
        <w:t xml:space="preserve">) </w:t>
      </w:r>
      <w:r w:rsidRPr="00D94453">
        <w:rPr>
          <w:rFonts w:asciiTheme="majorHAnsi" w:hAnsiTheme="majorHAnsi" w:cs="Cambria"/>
          <w:sz w:val="23"/>
          <w:szCs w:val="23"/>
        </w:rPr>
        <w:t>ili telefonom (588-208)</w:t>
      </w:r>
      <w:r w:rsidRPr="00D94453">
        <w:rPr>
          <w:rFonts w:asciiTheme="majorHAnsi" w:hAnsiTheme="majorHAnsi" w:cs="Cambria"/>
          <w:b/>
          <w:sz w:val="23"/>
          <w:szCs w:val="23"/>
        </w:rPr>
        <w:t>.</w:t>
      </w:r>
    </w:p>
    <w:p w:rsidR="00054D87" w:rsidRPr="00D94453" w:rsidRDefault="00054D87" w:rsidP="00054D87">
      <w:pPr>
        <w:tabs>
          <w:tab w:val="left" w:pos="426"/>
        </w:tabs>
        <w:spacing w:after="0" w:line="120" w:lineRule="auto"/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D94453">
        <w:rPr>
          <w:rFonts w:asciiTheme="majorHAnsi" w:hAnsiTheme="majorHAnsi"/>
          <w:b/>
          <w:color w:val="FF0000"/>
          <w:sz w:val="23"/>
          <w:szCs w:val="23"/>
        </w:rPr>
        <w:tab/>
      </w:r>
    </w:p>
    <w:p w:rsidR="00720026" w:rsidRPr="00D94453" w:rsidRDefault="00054D87" w:rsidP="00720026">
      <w:pPr>
        <w:spacing w:line="280" w:lineRule="exact"/>
        <w:jc w:val="both"/>
        <w:rPr>
          <w:rFonts w:asciiTheme="majorHAnsi" w:hAnsiTheme="majorHAnsi" w:cs="Cambria"/>
          <w:sz w:val="23"/>
          <w:szCs w:val="23"/>
        </w:rPr>
      </w:pPr>
      <w:r w:rsidRPr="00D94453">
        <w:rPr>
          <w:rFonts w:asciiTheme="majorHAnsi" w:hAnsiTheme="majorHAnsi"/>
          <w:sz w:val="23"/>
          <w:szCs w:val="23"/>
        </w:rPr>
        <w:tab/>
      </w:r>
      <w:r w:rsidR="00720026" w:rsidRPr="00D94453">
        <w:rPr>
          <w:rFonts w:asciiTheme="majorHAnsi" w:hAnsiTheme="majorHAnsi" w:cs="Cambria"/>
          <w:sz w:val="23"/>
          <w:szCs w:val="23"/>
        </w:rPr>
        <w:t xml:space="preserve">Molimo da se pozivu odazovete i sudjelujete u radu elektronske sjednice, a u slučaju spriječenosti o tome izvijestite Gordanu Pađen, zamjenicu </w:t>
      </w:r>
      <w:proofErr w:type="spellStart"/>
      <w:r w:rsidR="00720026" w:rsidRPr="00D94453">
        <w:rPr>
          <w:rFonts w:asciiTheme="majorHAnsi" w:hAnsiTheme="majorHAnsi" w:cs="Cambria"/>
          <w:sz w:val="23"/>
          <w:szCs w:val="23"/>
        </w:rPr>
        <w:t>p.o</w:t>
      </w:r>
      <w:proofErr w:type="spellEnd"/>
      <w:r w:rsidR="00720026" w:rsidRPr="00D94453">
        <w:rPr>
          <w:rFonts w:asciiTheme="majorHAnsi" w:hAnsiTheme="majorHAnsi" w:cs="Cambria"/>
          <w:sz w:val="23"/>
          <w:szCs w:val="23"/>
        </w:rPr>
        <w:t>. pročelnice Upravnog odjela za poslove Župana i Županijske skupštine (</w:t>
      </w:r>
      <w:proofErr w:type="spellStart"/>
      <w:r w:rsidR="00720026" w:rsidRPr="00D94453">
        <w:rPr>
          <w:rFonts w:asciiTheme="majorHAnsi" w:hAnsiTheme="majorHAnsi" w:cs="Cambria"/>
          <w:sz w:val="23"/>
          <w:szCs w:val="23"/>
        </w:rPr>
        <w:t>tel</w:t>
      </w:r>
      <w:proofErr w:type="spellEnd"/>
      <w:r w:rsidR="00720026" w:rsidRPr="00D94453">
        <w:rPr>
          <w:rFonts w:asciiTheme="majorHAnsi" w:hAnsiTheme="majorHAnsi" w:cs="Cambria"/>
          <w:sz w:val="23"/>
          <w:szCs w:val="23"/>
        </w:rPr>
        <w:t xml:space="preserve">.: 588-208, e-mail: </w:t>
      </w:r>
      <w:hyperlink r:id="rId10" w:history="1">
        <w:r w:rsidR="00720026" w:rsidRPr="00D94453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720026" w:rsidRPr="00D94453">
        <w:rPr>
          <w:rFonts w:asciiTheme="majorHAnsi" w:hAnsiTheme="majorHAnsi" w:cs="Cambria"/>
          <w:sz w:val="23"/>
          <w:szCs w:val="23"/>
        </w:rPr>
        <w:t xml:space="preserve"> ili </w:t>
      </w:r>
      <w:proofErr w:type="spellStart"/>
      <w:r w:rsidR="00720026" w:rsidRPr="00D94453">
        <w:rPr>
          <w:rFonts w:asciiTheme="majorHAnsi" w:hAnsiTheme="majorHAnsi" w:cs="Cambria"/>
          <w:sz w:val="23"/>
          <w:szCs w:val="23"/>
        </w:rPr>
        <w:t>tajnistvo</w:t>
      </w:r>
      <w:proofErr w:type="spellEnd"/>
      <w:r w:rsidR="00720026" w:rsidRPr="00D94453">
        <w:rPr>
          <w:rFonts w:asciiTheme="majorHAnsi" w:hAnsiTheme="majorHAnsi" w:cs="Cambria"/>
          <w:sz w:val="23"/>
          <w:szCs w:val="23"/>
        </w:rPr>
        <w:t>@</w:t>
      </w:r>
      <w:proofErr w:type="spellStart"/>
      <w:r w:rsidR="00720026" w:rsidRPr="00D94453">
        <w:rPr>
          <w:rFonts w:asciiTheme="majorHAnsi" w:hAnsiTheme="majorHAnsi" w:cs="Cambria"/>
          <w:sz w:val="23"/>
          <w:szCs w:val="23"/>
        </w:rPr>
        <w:t>licko</w:t>
      </w:r>
      <w:proofErr w:type="spellEnd"/>
      <w:r w:rsidR="00720026" w:rsidRPr="00D94453">
        <w:rPr>
          <w:rFonts w:asciiTheme="majorHAnsi" w:hAnsiTheme="majorHAnsi" w:cs="Cambria"/>
          <w:sz w:val="23"/>
          <w:szCs w:val="23"/>
        </w:rPr>
        <w:t>-</w:t>
      </w:r>
      <w:proofErr w:type="spellStart"/>
      <w:r w:rsidR="00720026" w:rsidRPr="00D94453">
        <w:rPr>
          <w:rFonts w:asciiTheme="majorHAnsi" w:hAnsiTheme="majorHAnsi" w:cs="Cambria"/>
          <w:sz w:val="23"/>
          <w:szCs w:val="23"/>
        </w:rPr>
        <w:t>senjska.hr</w:t>
      </w:r>
      <w:proofErr w:type="spellEnd"/>
      <w:r w:rsidR="00720026" w:rsidRPr="00D94453">
        <w:rPr>
          <w:rFonts w:asciiTheme="majorHAnsi" w:hAnsiTheme="majorHAnsi" w:cs="Cambria"/>
          <w:sz w:val="23"/>
          <w:szCs w:val="23"/>
        </w:rPr>
        <w:t>).</w:t>
      </w:r>
    </w:p>
    <w:p w:rsidR="00054D87" w:rsidRDefault="00D94453" w:rsidP="00054D87">
      <w:pPr>
        <w:tabs>
          <w:tab w:val="left" w:pos="426"/>
        </w:tabs>
        <w:spacing w:line="2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054D87">
        <w:rPr>
          <w:rFonts w:asciiTheme="majorHAnsi" w:hAnsiTheme="majorHAnsi"/>
          <w:sz w:val="23"/>
          <w:szCs w:val="23"/>
        </w:rPr>
        <w:t>S poštovanjem,</w:t>
      </w:r>
    </w:p>
    <w:p w:rsidR="00054D87" w:rsidRDefault="00054D87" w:rsidP="00054D87">
      <w:pPr>
        <w:spacing w:after="0" w:line="12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/>
          <w:sz w:val="23"/>
          <w:szCs w:val="23"/>
        </w:rPr>
        <w:tab/>
      </w:r>
    </w:p>
    <w:p w:rsidR="00054D87" w:rsidRDefault="00054D87" w:rsidP="00054D87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803C14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P R E D S J E D N I K</w:t>
      </w:r>
    </w:p>
    <w:p w:rsidR="00FC255A" w:rsidRDefault="00FC255A" w:rsidP="00FC255A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</w:p>
    <w:p w:rsidR="00054D87" w:rsidRDefault="00054D87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Željko Biondić, dipl.ing.građ.</w:t>
      </w:r>
    </w:p>
    <w:p w:rsidR="00803C14" w:rsidRDefault="00803C14" w:rsidP="00054D87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sectPr w:rsidR="00803C14" w:rsidSect="0092140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110"/>
    <w:rsid w:val="000125C5"/>
    <w:rsid w:val="0001470D"/>
    <w:rsid w:val="00043E70"/>
    <w:rsid w:val="00054D87"/>
    <w:rsid w:val="0007696A"/>
    <w:rsid w:val="000C6F02"/>
    <w:rsid w:val="000E28D2"/>
    <w:rsid w:val="00117183"/>
    <w:rsid w:val="001646F6"/>
    <w:rsid w:val="001676DA"/>
    <w:rsid w:val="00174773"/>
    <w:rsid w:val="00181F42"/>
    <w:rsid w:val="001D5110"/>
    <w:rsid w:val="002A4006"/>
    <w:rsid w:val="002A77F1"/>
    <w:rsid w:val="002B6DBC"/>
    <w:rsid w:val="002C320C"/>
    <w:rsid w:val="002D7FA6"/>
    <w:rsid w:val="002E1DFD"/>
    <w:rsid w:val="002F6D91"/>
    <w:rsid w:val="00301C39"/>
    <w:rsid w:val="0030604A"/>
    <w:rsid w:val="00317A41"/>
    <w:rsid w:val="003701F5"/>
    <w:rsid w:val="00370D5A"/>
    <w:rsid w:val="00383986"/>
    <w:rsid w:val="003B5C88"/>
    <w:rsid w:val="003C3A87"/>
    <w:rsid w:val="00416465"/>
    <w:rsid w:val="00471A4E"/>
    <w:rsid w:val="004B093C"/>
    <w:rsid w:val="004B3D1A"/>
    <w:rsid w:val="004F4C32"/>
    <w:rsid w:val="00521E27"/>
    <w:rsid w:val="0058069A"/>
    <w:rsid w:val="00590396"/>
    <w:rsid w:val="00597765"/>
    <w:rsid w:val="005A4ACC"/>
    <w:rsid w:val="005B0AC0"/>
    <w:rsid w:val="005F0F66"/>
    <w:rsid w:val="00664DB2"/>
    <w:rsid w:val="006A50C8"/>
    <w:rsid w:val="006C5AC0"/>
    <w:rsid w:val="006D79D6"/>
    <w:rsid w:val="007175F5"/>
    <w:rsid w:val="00720026"/>
    <w:rsid w:val="007620C4"/>
    <w:rsid w:val="00777D77"/>
    <w:rsid w:val="00803C14"/>
    <w:rsid w:val="008336FD"/>
    <w:rsid w:val="00872835"/>
    <w:rsid w:val="00895CEA"/>
    <w:rsid w:val="008B2385"/>
    <w:rsid w:val="008B5979"/>
    <w:rsid w:val="008C3683"/>
    <w:rsid w:val="008C47D5"/>
    <w:rsid w:val="008D08C8"/>
    <w:rsid w:val="008F4547"/>
    <w:rsid w:val="008F5FC2"/>
    <w:rsid w:val="00901101"/>
    <w:rsid w:val="0092140B"/>
    <w:rsid w:val="009353B6"/>
    <w:rsid w:val="00963AF7"/>
    <w:rsid w:val="00975BFD"/>
    <w:rsid w:val="00975FE9"/>
    <w:rsid w:val="009B7327"/>
    <w:rsid w:val="00A57F2B"/>
    <w:rsid w:val="00A777C7"/>
    <w:rsid w:val="00AA2FA0"/>
    <w:rsid w:val="00AA59F3"/>
    <w:rsid w:val="00B314A3"/>
    <w:rsid w:val="00B53C0E"/>
    <w:rsid w:val="00B7441F"/>
    <w:rsid w:val="00BB7246"/>
    <w:rsid w:val="00C1038A"/>
    <w:rsid w:val="00C216EE"/>
    <w:rsid w:val="00C25DDC"/>
    <w:rsid w:val="00C34938"/>
    <w:rsid w:val="00C6561B"/>
    <w:rsid w:val="00C76F59"/>
    <w:rsid w:val="00C77717"/>
    <w:rsid w:val="00CD2409"/>
    <w:rsid w:val="00CE1374"/>
    <w:rsid w:val="00D07D39"/>
    <w:rsid w:val="00D257EE"/>
    <w:rsid w:val="00D6019F"/>
    <w:rsid w:val="00D8322C"/>
    <w:rsid w:val="00D94453"/>
    <w:rsid w:val="00DB6E45"/>
    <w:rsid w:val="00E33133"/>
    <w:rsid w:val="00E66B71"/>
    <w:rsid w:val="00EC26AF"/>
    <w:rsid w:val="00EE4B77"/>
    <w:rsid w:val="00EF11B6"/>
    <w:rsid w:val="00EF1FE2"/>
    <w:rsid w:val="00EF791B"/>
    <w:rsid w:val="00F17639"/>
    <w:rsid w:val="00F34537"/>
    <w:rsid w:val="00F52098"/>
    <w:rsid w:val="00F966AE"/>
    <w:rsid w:val="00FC255A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F11B6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EF11B6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1B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ordana@licko-senj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70</cp:revision>
  <cp:lastPrinted>2020-06-15T11:25:00Z</cp:lastPrinted>
  <dcterms:created xsi:type="dcterms:W3CDTF">2019-12-19T12:24:00Z</dcterms:created>
  <dcterms:modified xsi:type="dcterms:W3CDTF">2020-06-15T11:26:00Z</dcterms:modified>
</cp:coreProperties>
</file>